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泉州职业技术大学202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-202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学年本科教学质量报告</w:t>
      </w:r>
    </w:p>
    <w:p>
      <w:pPr>
        <w:pStyle w:val="2"/>
        <w:jc w:val="center"/>
        <w:rPr>
          <w:rFonts w:hint="eastAsia" w:ascii="黑体" w:hAnsi="黑体" w:eastAsia="黑体" w:cs="黑体"/>
          <w:b/>
          <w:bCs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6"/>
          <w:szCs w:val="36"/>
          <w:highlight w:val="none"/>
          <w:lang w:val="en-US" w:eastAsia="zh-CN" w:bidi="ar-SA"/>
        </w:rPr>
        <w:t>提纲及任务分解（分部门）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</w:pPr>
      <w:bookmarkStart w:id="0" w:name="_Toc18637"/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一、</w:t>
      </w:r>
      <w:bookmarkEnd w:id="0"/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本科教育基本情况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1" w:name="_Toc2192"/>
      <w:r>
        <w:rPr>
          <w:rFonts w:hint="eastAsia" w:ascii="黑体" w:hAnsi="黑体" w:eastAsia="黑体" w:cs="黑体"/>
          <w:sz w:val="28"/>
          <w:szCs w:val="28"/>
          <w:highlight w:val="none"/>
        </w:rPr>
        <w:t>（一）人才培养目标及服务面向</w:t>
      </w:r>
      <w:bookmarkEnd w:id="1"/>
      <w:r>
        <w:rPr>
          <w:rFonts w:hint="eastAsia" w:ascii="黑体" w:hAnsi="黑体" w:eastAsia="黑体" w:cs="黑体"/>
          <w:sz w:val="28"/>
          <w:szCs w:val="28"/>
          <w:highlight w:val="none"/>
        </w:rPr>
        <w:t>（教务处）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（</w:t>
      </w:r>
      <w:bookmarkStart w:id="2" w:name="_Toc18720"/>
      <w:r>
        <w:rPr>
          <w:rFonts w:hint="eastAsia" w:ascii="黑体" w:hAnsi="黑体" w:eastAsia="黑体" w:cs="黑体"/>
          <w:sz w:val="28"/>
          <w:szCs w:val="28"/>
          <w:highlight w:val="none"/>
        </w:rPr>
        <w:t>二）本科专业设置情况</w:t>
      </w:r>
      <w:bookmarkEnd w:id="2"/>
      <w:r>
        <w:rPr>
          <w:rFonts w:hint="eastAsia" w:ascii="黑体" w:hAnsi="黑体" w:eastAsia="黑体" w:cs="黑体"/>
          <w:sz w:val="28"/>
          <w:szCs w:val="28"/>
          <w:highlight w:val="none"/>
        </w:rPr>
        <w:t>（教务处）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3" w:name="_Toc32603"/>
      <w:r>
        <w:rPr>
          <w:rFonts w:hint="eastAsia" w:ascii="黑体" w:hAnsi="黑体" w:eastAsia="黑体" w:cs="黑体"/>
          <w:sz w:val="28"/>
          <w:szCs w:val="28"/>
          <w:highlight w:val="none"/>
        </w:rPr>
        <w:t>（三）全日制在校学生情况</w:t>
      </w:r>
      <w:bookmarkEnd w:id="3"/>
      <w:r>
        <w:rPr>
          <w:rFonts w:hint="eastAsia" w:ascii="黑体" w:hAnsi="黑体" w:eastAsia="黑体" w:cs="黑体"/>
          <w:sz w:val="28"/>
          <w:szCs w:val="28"/>
          <w:highlight w:val="none"/>
        </w:rPr>
        <w:t>（教务处）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4" w:name="_Toc20121"/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本科生源质量情况</w:t>
      </w:r>
      <w:bookmarkEnd w:id="4"/>
      <w:r>
        <w:rPr>
          <w:rFonts w:hint="eastAsia" w:ascii="黑体" w:hAnsi="黑体" w:eastAsia="黑体" w:cs="黑体"/>
          <w:sz w:val="28"/>
          <w:szCs w:val="28"/>
          <w:highlight w:val="none"/>
        </w:rPr>
        <w:t>（招生办）</w:t>
      </w:r>
      <w:bookmarkStart w:id="5" w:name="_Toc1587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要求：本科教育基本情况。包括本科人才培养目标及服务面向、本科专业设置情况，各类全日制在校学生情况及本科生所占比例，本科生源质量情况等。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二、师资与教学条件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6" w:name="_Toc32667"/>
      <w:r>
        <w:rPr>
          <w:rFonts w:hint="eastAsia" w:ascii="黑体" w:hAnsi="黑体" w:eastAsia="黑体" w:cs="黑体"/>
          <w:sz w:val="28"/>
          <w:szCs w:val="28"/>
          <w:highlight w:val="none"/>
        </w:rPr>
        <w:t>（一）师资队伍</w:t>
      </w:r>
      <w:bookmarkEnd w:id="6"/>
      <w:r>
        <w:rPr>
          <w:rFonts w:hint="eastAsia" w:ascii="黑体" w:hAnsi="黑体" w:eastAsia="黑体" w:cs="黑体"/>
          <w:sz w:val="28"/>
          <w:szCs w:val="28"/>
          <w:highlight w:val="none"/>
        </w:rPr>
        <w:t xml:space="preserve">（人事处）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）专业实践教学课程设置情况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(教务处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人事处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)</w:t>
      </w:r>
    </w:p>
    <w:p>
      <w:pPr>
        <w:pStyle w:val="2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教学经费投入情况（财务处）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7" w:name="_Toc25330"/>
      <w:r>
        <w:rPr>
          <w:rFonts w:hint="eastAsia" w:ascii="黑体" w:hAnsi="黑体" w:eastAsia="黑体" w:cs="黑体"/>
          <w:sz w:val="28"/>
          <w:szCs w:val="28"/>
          <w:highlight w:val="none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）</w:t>
      </w:r>
      <w:bookmarkEnd w:id="7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教学用房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校办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8" w:name="_Toc28074"/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</w:t>
      </w:r>
      <w:bookmarkEnd w:id="8"/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图书馆及图书资源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（图书馆）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bookmarkStart w:id="9" w:name="_Toc25749"/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实验设施（教务处）</w:t>
      </w:r>
    </w:p>
    <w:bookmarkEnd w:id="9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10" w:name="_Toc32211"/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</w:t>
      </w:r>
      <w:bookmarkEnd w:id="10"/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信息资源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及应用（信息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管理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中心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教务处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要求：师资与教学条件。描述学校生师比，师资队伍数量及结构情况，本科生主讲教师情况，教授承担本科课程情况，教学经费投入情况，教学用房、图书、设备、信息资源及其应用情况等。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</w:pPr>
      <w:bookmarkStart w:id="11" w:name="_Toc27308"/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三、教学建设与改革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12" w:name="_Toc11635"/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</w:t>
      </w:r>
      <w:bookmarkEnd w:id="12"/>
      <w:r>
        <w:rPr>
          <w:rFonts w:hint="eastAsia" w:ascii="黑体" w:hAnsi="黑体" w:eastAsia="黑体" w:cs="黑体"/>
          <w:sz w:val="28"/>
          <w:szCs w:val="28"/>
          <w:highlight w:val="none"/>
        </w:rPr>
        <w:t>专业建设（教务处、各学院）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13" w:name="_Toc18398"/>
      <w:r>
        <w:rPr>
          <w:rFonts w:hint="eastAsia" w:ascii="黑体" w:hAnsi="黑体" w:eastAsia="黑体" w:cs="黑体"/>
          <w:sz w:val="28"/>
          <w:szCs w:val="28"/>
          <w:highlight w:val="none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）课程建设（教务处、各学院）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）教材建设（教务处、各学院）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教学改革（教务处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、各学院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）课堂教学规模（教务处、各学院）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）实践教学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教务处、各学院）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）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毕业论文（设计）（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教务处、各学院）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创新创业教育（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创新创业学院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、教务处、科研处）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要求：教学建设与改革。揭示教学过程各主要方面和关键环节，包括专业建设、课程建设、教材建设、教学改革等。特别是开设“习近平总书记关于教育的重要论述研究” 的课程情况，推进马工程重点教材统一使用情况，全校开设课程门数及选修课程开设情况，课堂教学规模、实践教学、毕业论文（设计）以及学生创新创业教育等情况。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四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专业培养能力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（一）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本科培养目标定位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（教务处、各学院）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（二）专业基本教学条件（教务处、各学院）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（三）落实立德树人机制（教务处、学工处）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）教学管理学风建设（教务处、学工处）</w:t>
      </w:r>
    </w:p>
    <w:bookmarkEnd w:id="1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要求：专业培养能力。展示本科专业培养能力和发展水平，主要描述专业概况，突出特色、优势、问题及困难等。包括主要专业的培养目标、教学条件、人才培养等情况，特别是人才培养目标定位与社会人才需求适应性、培养方案特点、专任教师数量和结构、生师比、教学经费投入、教学资源、实践教学及实习实训基地、立德树人落实机制、专业课程体系建设、教授授课、实践教学、创新创业教育、学风管理等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</w:pPr>
      <w:bookmarkStart w:id="14" w:name="_Toc5195"/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五、质量保障体系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（一）学校人才培养中心地位落实情况（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校办、党委组织部、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教务处）</w:t>
      </w: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）校领导班子研究本科教学工作情况（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校办、党委组织部、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教务处）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（三）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教学质量保障体系建设情况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质量评估处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（四）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开展专业评估情况（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质量评估处、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教务处）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要求：质量保障体系。阐述学校人才培养中心地位落实情况、校领导班子研究本科教学工作情况，出台的相关政策措施、教学质量保障体系建设、日常监控及运行、规范教学行为情况，本科教学基本状态分析，开展专业评估、专业认证、国际评估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六、学生学习成效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（一）学生学习满意度（学工处）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）应届本科生毕业情况（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教务处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学位授予情况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（教务处）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）就业情况（学工处）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）社会评价（学工处、教务处、各学院）</w:t>
      </w:r>
      <w:bookmarkStart w:id="15" w:name="_Toc205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要求：学生学习效果。呈现学生学习满意度、应届本科生毕业情况、学位授予情况、攻读研究生情况、就业情况、社会用人单位对毕业生评价、毕业生成就等。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七、</w:t>
      </w:r>
      <w:bookmarkEnd w:id="15"/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特色与发展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bookmarkStart w:id="16" w:name="_Toc7322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（一）</w:t>
      </w: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国家级市域产教联合体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（校办公室）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与华为共建产业学院（华为共建产业学院）</w:t>
      </w:r>
    </w:p>
    <w:p>
      <w:pPr>
        <w:pStyle w:val="2"/>
        <w:rPr>
          <w:rFonts w:hint="eastAsia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（三）福建省职业教育典型案例（校办公室）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要求：特色发展。总结学校在本科教育教学工作中的特色和经验。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八、挑战与对策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bookmarkStart w:id="17" w:name="_Toc30405"/>
      <w:bookmarkStart w:id="18" w:name="_Toc10529"/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（一）职业本科教育改革试点挑战</w:t>
      </w:r>
      <w:bookmarkEnd w:id="17"/>
      <w:bookmarkEnd w:id="18"/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校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办、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教务处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bookmarkStart w:id="19" w:name="_Toc8369"/>
      <w:bookmarkStart w:id="20" w:name="_Toc24586"/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（二）职业本科教育改革试点对策</w:t>
      </w:r>
      <w:bookmarkEnd w:id="19"/>
      <w:bookmarkEnd w:id="20"/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校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办、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教务处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要求：需要解决的问题。针对影响教学质量的突出问题，分析主要原因，提出解决问题的措施及建议。</w:t>
      </w:r>
    </w:p>
    <w:p>
      <w:pPr>
        <w:pStyle w:val="2"/>
        <w:spacing w:afterLines="0" w:line="560" w:lineRule="exact"/>
        <w:ind w:firstLine="360" w:firstLineChars="200"/>
        <w:rPr>
          <w:rFonts w:hint="eastAsia" w:ascii="仿宋_GB2312" w:hAnsi="仿宋_GB2312" w:eastAsia="仿宋_GB2312" w:cs="仿宋_GB2312"/>
          <w:highlight w:val="none"/>
        </w:rPr>
      </w:pPr>
      <w:bookmarkStart w:id="21" w:name="_GoBack"/>
      <w:bookmarkEnd w:id="21"/>
    </w:p>
    <w:sectPr>
      <w:footerReference r:id="rId3" w:type="default"/>
      <w:pgSz w:w="11906" w:h="16838"/>
      <w:pgMar w:top="1440" w:right="1558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iOTBiODVhMmQ0YjkzNjllNzJiNGZlNzM5ZjdkODYifQ=="/>
  </w:docVars>
  <w:rsids>
    <w:rsidRoot w:val="099F7592"/>
    <w:rsid w:val="000022DE"/>
    <w:rsid w:val="00035431"/>
    <w:rsid w:val="00040EFB"/>
    <w:rsid w:val="000455C6"/>
    <w:rsid w:val="00065E78"/>
    <w:rsid w:val="000E3B52"/>
    <w:rsid w:val="001006EA"/>
    <w:rsid w:val="001120F8"/>
    <w:rsid w:val="00113770"/>
    <w:rsid w:val="00160780"/>
    <w:rsid w:val="0017336A"/>
    <w:rsid w:val="00180495"/>
    <w:rsid w:val="001A59D5"/>
    <w:rsid w:val="001B57DF"/>
    <w:rsid w:val="002041E1"/>
    <w:rsid w:val="00264BFD"/>
    <w:rsid w:val="00277ECA"/>
    <w:rsid w:val="00282C18"/>
    <w:rsid w:val="00317A3D"/>
    <w:rsid w:val="00357BE4"/>
    <w:rsid w:val="00384C77"/>
    <w:rsid w:val="003A37B2"/>
    <w:rsid w:val="003B2FBA"/>
    <w:rsid w:val="003D66EC"/>
    <w:rsid w:val="003F053C"/>
    <w:rsid w:val="00404590"/>
    <w:rsid w:val="00464583"/>
    <w:rsid w:val="004B41B4"/>
    <w:rsid w:val="00520F7C"/>
    <w:rsid w:val="00571966"/>
    <w:rsid w:val="005E27E5"/>
    <w:rsid w:val="005F3843"/>
    <w:rsid w:val="00644340"/>
    <w:rsid w:val="0065633F"/>
    <w:rsid w:val="00666C90"/>
    <w:rsid w:val="006823A0"/>
    <w:rsid w:val="006C4099"/>
    <w:rsid w:val="006D4D44"/>
    <w:rsid w:val="007002C5"/>
    <w:rsid w:val="00713A71"/>
    <w:rsid w:val="00746F38"/>
    <w:rsid w:val="00781DF5"/>
    <w:rsid w:val="007870EC"/>
    <w:rsid w:val="007C2E6F"/>
    <w:rsid w:val="007D470D"/>
    <w:rsid w:val="007E67AA"/>
    <w:rsid w:val="008340B6"/>
    <w:rsid w:val="008A2CD9"/>
    <w:rsid w:val="008B09DB"/>
    <w:rsid w:val="008B513C"/>
    <w:rsid w:val="0090121C"/>
    <w:rsid w:val="00902722"/>
    <w:rsid w:val="0090489C"/>
    <w:rsid w:val="0091155D"/>
    <w:rsid w:val="00965D43"/>
    <w:rsid w:val="00980584"/>
    <w:rsid w:val="009D1874"/>
    <w:rsid w:val="009D4C90"/>
    <w:rsid w:val="009E2BF3"/>
    <w:rsid w:val="00A11CF7"/>
    <w:rsid w:val="00A31A12"/>
    <w:rsid w:val="00A36AED"/>
    <w:rsid w:val="00A379E3"/>
    <w:rsid w:val="00A4762D"/>
    <w:rsid w:val="00A551D2"/>
    <w:rsid w:val="00A97FCD"/>
    <w:rsid w:val="00AC2F03"/>
    <w:rsid w:val="00AC44A8"/>
    <w:rsid w:val="00B26CD8"/>
    <w:rsid w:val="00B61821"/>
    <w:rsid w:val="00B77345"/>
    <w:rsid w:val="00BD1F5F"/>
    <w:rsid w:val="00BE072F"/>
    <w:rsid w:val="00C1409F"/>
    <w:rsid w:val="00C27326"/>
    <w:rsid w:val="00C43D70"/>
    <w:rsid w:val="00C53E4A"/>
    <w:rsid w:val="00C54508"/>
    <w:rsid w:val="00C86E46"/>
    <w:rsid w:val="00CB6823"/>
    <w:rsid w:val="00CF5CEF"/>
    <w:rsid w:val="00D04B0E"/>
    <w:rsid w:val="00D153EB"/>
    <w:rsid w:val="00D2785D"/>
    <w:rsid w:val="00D86A43"/>
    <w:rsid w:val="00DA2096"/>
    <w:rsid w:val="00DC6100"/>
    <w:rsid w:val="00DE20EB"/>
    <w:rsid w:val="00DF5963"/>
    <w:rsid w:val="00E14A60"/>
    <w:rsid w:val="00E30880"/>
    <w:rsid w:val="00E630AE"/>
    <w:rsid w:val="00E7275C"/>
    <w:rsid w:val="00E755C7"/>
    <w:rsid w:val="00EE5EB5"/>
    <w:rsid w:val="00EF20AE"/>
    <w:rsid w:val="00EF34EF"/>
    <w:rsid w:val="00EF52D6"/>
    <w:rsid w:val="00F211B5"/>
    <w:rsid w:val="00F71B56"/>
    <w:rsid w:val="00F73CE6"/>
    <w:rsid w:val="00FA3CDF"/>
    <w:rsid w:val="00FB7430"/>
    <w:rsid w:val="00FC038B"/>
    <w:rsid w:val="011B3BC9"/>
    <w:rsid w:val="02312BC0"/>
    <w:rsid w:val="039C72DD"/>
    <w:rsid w:val="03F664CC"/>
    <w:rsid w:val="048E7835"/>
    <w:rsid w:val="05467621"/>
    <w:rsid w:val="079763DA"/>
    <w:rsid w:val="082F367B"/>
    <w:rsid w:val="09600829"/>
    <w:rsid w:val="099F7592"/>
    <w:rsid w:val="0CFD7D51"/>
    <w:rsid w:val="104625B0"/>
    <w:rsid w:val="11687FC6"/>
    <w:rsid w:val="11CB452A"/>
    <w:rsid w:val="15E43CF3"/>
    <w:rsid w:val="161D0864"/>
    <w:rsid w:val="176338FF"/>
    <w:rsid w:val="17651EF0"/>
    <w:rsid w:val="1A4C70BB"/>
    <w:rsid w:val="1F584222"/>
    <w:rsid w:val="20AE67BE"/>
    <w:rsid w:val="216C00D8"/>
    <w:rsid w:val="21CD28C0"/>
    <w:rsid w:val="22E53032"/>
    <w:rsid w:val="22E71BCB"/>
    <w:rsid w:val="294E064A"/>
    <w:rsid w:val="295E1069"/>
    <w:rsid w:val="29C7337E"/>
    <w:rsid w:val="2ACE5C00"/>
    <w:rsid w:val="2B0D0B6D"/>
    <w:rsid w:val="2ED606E3"/>
    <w:rsid w:val="31A47D12"/>
    <w:rsid w:val="3253777D"/>
    <w:rsid w:val="32BA12BD"/>
    <w:rsid w:val="38C156FC"/>
    <w:rsid w:val="3A946897"/>
    <w:rsid w:val="3B4160CE"/>
    <w:rsid w:val="3D6E5F7F"/>
    <w:rsid w:val="3EF44874"/>
    <w:rsid w:val="404C5386"/>
    <w:rsid w:val="41C06FA3"/>
    <w:rsid w:val="43C443A8"/>
    <w:rsid w:val="447B27B8"/>
    <w:rsid w:val="44991FAC"/>
    <w:rsid w:val="45833790"/>
    <w:rsid w:val="464643C1"/>
    <w:rsid w:val="4C675394"/>
    <w:rsid w:val="50AE34C0"/>
    <w:rsid w:val="52470BC9"/>
    <w:rsid w:val="5451288E"/>
    <w:rsid w:val="56D05343"/>
    <w:rsid w:val="57BA0721"/>
    <w:rsid w:val="58132709"/>
    <w:rsid w:val="582968CF"/>
    <w:rsid w:val="5849093D"/>
    <w:rsid w:val="5ABA31A5"/>
    <w:rsid w:val="5E590AEC"/>
    <w:rsid w:val="5E78641C"/>
    <w:rsid w:val="5E8C0C90"/>
    <w:rsid w:val="5EB433E0"/>
    <w:rsid w:val="605734FD"/>
    <w:rsid w:val="619A2A9F"/>
    <w:rsid w:val="624704D9"/>
    <w:rsid w:val="64653DE7"/>
    <w:rsid w:val="66820B3B"/>
    <w:rsid w:val="67A34A90"/>
    <w:rsid w:val="68B72835"/>
    <w:rsid w:val="691058E2"/>
    <w:rsid w:val="6A2F5703"/>
    <w:rsid w:val="6ABC3364"/>
    <w:rsid w:val="6C190ACA"/>
    <w:rsid w:val="6C6F208B"/>
    <w:rsid w:val="6E547CC9"/>
    <w:rsid w:val="6F4A3291"/>
    <w:rsid w:val="71AD3F0C"/>
    <w:rsid w:val="71ED43B2"/>
    <w:rsid w:val="721F6511"/>
    <w:rsid w:val="766E5C3E"/>
    <w:rsid w:val="776039EB"/>
    <w:rsid w:val="79747EC5"/>
    <w:rsid w:val="7A064619"/>
    <w:rsid w:val="7AE112E8"/>
    <w:rsid w:val="7DF34978"/>
    <w:rsid w:val="7E20179F"/>
    <w:rsid w:val="7F3F5704"/>
    <w:rsid w:val="7F4831AE"/>
    <w:rsid w:val="7FB1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basedOn w:val="12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C8992C-7E64-407D-9450-5BD75EA69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2792</Words>
  <Characters>2801</Characters>
  <Lines>15</Lines>
  <Paragraphs>4</Paragraphs>
  <TotalTime>0</TotalTime>
  <ScaleCrop>false</ScaleCrop>
  <LinksUpToDate>false</LinksUpToDate>
  <CharactersWithSpaces>2808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2021-09-29T09:34:00Z</dcterms:created>
  <dc:creator>教务处</dc:creator>
  <cp:lastModifiedBy>朱婷</cp:lastModifiedBy>
  <cp:lastPrinted>2021-09-27T03:04:00Z</cp:lastPrinted>
  <dcterms:modified xsi:type="dcterms:W3CDTF">2023-11-07T09:28:26Z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4FCE84F4F55C406D87C70188B5295862</vt:lpwstr>
  </property>
</Properties>
</file>